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200"/>
        <w:gridCol w:w="672"/>
        <w:gridCol w:w="8818"/>
        <w:gridCol w:w="660"/>
        <w:gridCol w:w="817"/>
      </w:tblGrid>
      <w:tr w14:paraId="4D67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14:paraId="64E5951E">
            <w:pPr>
              <w:jc w:val="center"/>
              <w:rPr>
                <w:rFonts w:hint="eastAsia" w:eastAsiaTheme="minorEastAsia"/>
                <w:sz w:val="18"/>
                <w:szCs w:val="18"/>
                <w:vertAlign w:val="baseline"/>
                <w:lang w:val="en-US" w:eastAsia="zh-CN"/>
              </w:rPr>
            </w:pPr>
            <w:r>
              <w:rPr>
                <w:rFonts w:hint="eastAsia"/>
                <w:sz w:val="18"/>
                <w:szCs w:val="18"/>
                <w:vertAlign w:val="baseline"/>
                <w:lang w:val="en-US" w:eastAsia="zh-CN"/>
              </w:rPr>
              <w:t>序号</w:t>
            </w:r>
          </w:p>
        </w:tc>
        <w:tc>
          <w:tcPr>
            <w:tcW w:w="1200" w:type="dxa"/>
          </w:tcPr>
          <w:p w14:paraId="289872E0">
            <w:pPr>
              <w:jc w:val="center"/>
              <w:rPr>
                <w:rFonts w:hint="eastAsia" w:eastAsiaTheme="minorEastAsia"/>
                <w:sz w:val="18"/>
                <w:szCs w:val="18"/>
                <w:vertAlign w:val="baseline"/>
                <w:lang w:val="en-US" w:eastAsia="zh-CN"/>
              </w:rPr>
            </w:pPr>
            <w:r>
              <w:rPr>
                <w:rFonts w:hint="eastAsia"/>
                <w:sz w:val="18"/>
                <w:szCs w:val="18"/>
                <w:vertAlign w:val="baseline"/>
                <w:lang w:val="en-US" w:eastAsia="zh-CN"/>
              </w:rPr>
              <w:t>名称</w:t>
            </w:r>
          </w:p>
        </w:tc>
        <w:tc>
          <w:tcPr>
            <w:tcW w:w="672" w:type="dxa"/>
          </w:tcPr>
          <w:p w14:paraId="25B9FEE8">
            <w:pPr>
              <w:jc w:val="center"/>
              <w:rPr>
                <w:rFonts w:hint="eastAsia" w:eastAsiaTheme="minorEastAsia"/>
                <w:sz w:val="18"/>
                <w:szCs w:val="18"/>
                <w:vertAlign w:val="baseline"/>
                <w:lang w:val="en-US" w:eastAsia="zh-CN"/>
              </w:rPr>
            </w:pPr>
            <w:r>
              <w:rPr>
                <w:rFonts w:hint="eastAsia"/>
                <w:sz w:val="18"/>
                <w:szCs w:val="18"/>
                <w:vertAlign w:val="baseline"/>
                <w:lang w:val="en-US" w:eastAsia="zh-CN"/>
              </w:rPr>
              <w:t>型号</w:t>
            </w:r>
          </w:p>
        </w:tc>
        <w:tc>
          <w:tcPr>
            <w:tcW w:w="8818" w:type="dxa"/>
          </w:tcPr>
          <w:p w14:paraId="141C0CD4">
            <w:pPr>
              <w:jc w:val="center"/>
              <w:rPr>
                <w:rFonts w:hint="eastAsia" w:eastAsiaTheme="minorEastAsia"/>
                <w:sz w:val="18"/>
                <w:szCs w:val="18"/>
                <w:vertAlign w:val="baseline"/>
                <w:lang w:val="en-US" w:eastAsia="zh-CN"/>
              </w:rPr>
            </w:pPr>
            <w:r>
              <w:rPr>
                <w:rFonts w:hint="eastAsia"/>
                <w:sz w:val="18"/>
                <w:szCs w:val="18"/>
                <w:vertAlign w:val="baseline"/>
                <w:lang w:val="en-US" w:eastAsia="zh-CN"/>
              </w:rPr>
              <w:t>参数</w:t>
            </w:r>
          </w:p>
        </w:tc>
        <w:tc>
          <w:tcPr>
            <w:tcW w:w="660" w:type="dxa"/>
          </w:tcPr>
          <w:p w14:paraId="146A7BD4">
            <w:pPr>
              <w:jc w:val="center"/>
              <w:rPr>
                <w:rFonts w:hint="eastAsia" w:eastAsiaTheme="minorEastAsia"/>
                <w:sz w:val="18"/>
                <w:szCs w:val="18"/>
                <w:vertAlign w:val="baseline"/>
                <w:lang w:val="en-US" w:eastAsia="zh-CN"/>
              </w:rPr>
            </w:pPr>
            <w:r>
              <w:rPr>
                <w:rFonts w:hint="eastAsia"/>
                <w:sz w:val="18"/>
                <w:szCs w:val="18"/>
                <w:vertAlign w:val="baseline"/>
                <w:lang w:val="en-US" w:eastAsia="zh-CN"/>
              </w:rPr>
              <w:t>单位</w:t>
            </w:r>
          </w:p>
        </w:tc>
        <w:tc>
          <w:tcPr>
            <w:tcW w:w="817" w:type="dxa"/>
          </w:tcPr>
          <w:p w14:paraId="18B4FAD6">
            <w:pPr>
              <w:jc w:val="center"/>
              <w:rPr>
                <w:rFonts w:hint="eastAsia" w:eastAsiaTheme="minorEastAsia"/>
                <w:sz w:val="18"/>
                <w:szCs w:val="18"/>
                <w:vertAlign w:val="baseline"/>
                <w:lang w:val="en-US" w:eastAsia="zh-CN"/>
              </w:rPr>
            </w:pPr>
            <w:r>
              <w:rPr>
                <w:rFonts w:hint="eastAsia"/>
                <w:sz w:val="18"/>
                <w:szCs w:val="18"/>
                <w:vertAlign w:val="baseline"/>
                <w:lang w:val="en-US" w:eastAsia="zh-CN"/>
              </w:rPr>
              <w:t>预算价格（元）</w:t>
            </w:r>
          </w:p>
        </w:tc>
      </w:tr>
      <w:tr w14:paraId="4D7C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14:paraId="25A36394">
            <w:pP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1200" w:type="dxa"/>
          </w:tcPr>
          <w:p w14:paraId="78C25B32">
            <w:pPr>
              <w:rPr>
                <w:rFonts w:hint="eastAsia"/>
                <w:sz w:val="18"/>
                <w:szCs w:val="18"/>
                <w:vertAlign w:val="baseline"/>
              </w:rPr>
            </w:pPr>
            <w:r>
              <w:rPr>
                <w:rFonts w:hint="eastAsia"/>
                <w:sz w:val="18"/>
                <w:szCs w:val="18"/>
                <w:vertAlign w:val="baseline"/>
              </w:rPr>
              <w:t>平箱篮球架</w:t>
            </w:r>
          </w:p>
          <w:p w14:paraId="5521B689">
            <w:pPr>
              <w:rPr>
                <w:sz w:val="18"/>
                <w:szCs w:val="18"/>
                <w:vertAlign w:val="baseline"/>
              </w:rPr>
            </w:pPr>
            <w:r>
              <w:rPr>
                <w:rFonts w:hint="eastAsia"/>
                <w:sz w:val="18"/>
                <w:szCs w:val="18"/>
                <w:vertAlign w:val="baseline"/>
              </w:rPr>
              <w:t>（电动）</w:t>
            </w:r>
          </w:p>
        </w:tc>
        <w:tc>
          <w:tcPr>
            <w:tcW w:w="672" w:type="dxa"/>
          </w:tcPr>
          <w:p w14:paraId="197B701E">
            <w:pPr>
              <w:rPr>
                <w:sz w:val="18"/>
                <w:szCs w:val="18"/>
                <w:vertAlign w:val="baseline"/>
              </w:rPr>
            </w:pPr>
            <w:r>
              <w:rPr>
                <w:rFonts w:hint="eastAsia"/>
                <w:sz w:val="18"/>
                <w:szCs w:val="18"/>
                <w:vertAlign w:val="baseline"/>
              </w:rPr>
              <w:t>QK1065</w:t>
            </w:r>
          </w:p>
        </w:tc>
        <w:tc>
          <w:tcPr>
            <w:tcW w:w="8818" w:type="dxa"/>
          </w:tcPr>
          <w:p w14:paraId="57D4F824">
            <w:pPr>
              <w:rPr>
                <w:rFonts w:hint="eastAsia"/>
                <w:sz w:val="18"/>
                <w:szCs w:val="18"/>
                <w:vertAlign w:val="baseline"/>
              </w:rPr>
            </w:pPr>
            <w:r>
              <w:rPr>
                <w:rFonts w:hint="eastAsia"/>
                <w:sz w:val="18"/>
                <w:szCs w:val="18"/>
                <w:vertAlign w:val="baseline"/>
              </w:rPr>
              <w:t>1、产品规格</w:t>
            </w:r>
          </w:p>
          <w:p w14:paraId="27403EFF">
            <w:pPr>
              <w:rPr>
                <w:rFonts w:hint="eastAsia"/>
                <w:sz w:val="18"/>
                <w:szCs w:val="18"/>
                <w:vertAlign w:val="baseline"/>
              </w:rPr>
            </w:pPr>
            <w:r>
              <w:rPr>
                <w:rFonts w:hint="eastAsia"/>
                <w:sz w:val="18"/>
                <w:szCs w:val="18"/>
                <w:vertAlign w:val="baseline"/>
              </w:rPr>
              <w:t>篮架伸臂为3.35m。</w:t>
            </w:r>
          </w:p>
          <w:p w14:paraId="47B25B8B">
            <w:pPr>
              <w:rPr>
                <w:rFonts w:hint="eastAsia"/>
                <w:sz w:val="18"/>
                <w:szCs w:val="18"/>
                <w:vertAlign w:val="baseline"/>
              </w:rPr>
            </w:pPr>
            <w:r>
              <w:rPr>
                <w:rFonts w:hint="eastAsia"/>
                <w:sz w:val="18"/>
                <w:szCs w:val="18"/>
                <w:vertAlign w:val="baseline"/>
              </w:rPr>
              <w:t>篮圈上沿离地面高3.05m，球架底座尺寸：长×宽×前高×后高=2.4×1.2×0.7×0.38（m）。</w:t>
            </w:r>
          </w:p>
          <w:p w14:paraId="39B59EED">
            <w:pPr>
              <w:rPr>
                <w:rFonts w:hint="eastAsia"/>
                <w:sz w:val="18"/>
                <w:szCs w:val="18"/>
                <w:vertAlign w:val="baseline"/>
              </w:rPr>
            </w:pPr>
            <w:r>
              <w:rPr>
                <w:rFonts w:hint="eastAsia"/>
                <w:sz w:val="18"/>
                <w:szCs w:val="18"/>
                <w:vertAlign w:val="baseline"/>
              </w:rPr>
              <w:t>2、产品用材</w:t>
            </w:r>
          </w:p>
          <w:p w14:paraId="7F7B14F0">
            <w:pPr>
              <w:rPr>
                <w:rFonts w:hint="eastAsia"/>
                <w:sz w:val="18"/>
                <w:szCs w:val="18"/>
                <w:vertAlign w:val="baseline"/>
              </w:rPr>
            </w:pPr>
            <w:r>
              <w:rPr>
                <w:rFonts w:hint="eastAsia"/>
                <w:sz w:val="18"/>
                <w:szCs w:val="18"/>
                <w:vertAlign w:val="baseline"/>
              </w:rPr>
              <w:t>篮球架底座采用64mm的铁板在专用折边机上折边拼焊而成。观造型和谐统一。</w:t>
            </w:r>
          </w:p>
          <w:p w14:paraId="6752CF06">
            <w:pPr>
              <w:rPr>
                <w:rFonts w:hint="eastAsia"/>
                <w:sz w:val="18"/>
                <w:szCs w:val="18"/>
                <w:vertAlign w:val="baseline"/>
              </w:rPr>
            </w:pPr>
            <w:r>
              <w:rPr>
                <w:rFonts w:hint="eastAsia"/>
                <w:sz w:val="18"/>
                <w:szCs w:val="18"/>
                <w:vertAlign w:val="baseline"/>
              </w:rPr>
              <w:t>3、产品结构原理</w:t>
            </w:r>
          </w:p>
          <w:p w14:paraId="249F588F">
            <w:pPr>
              <w:rPr>
                <w:rFonts w:hint="eastAsia"/>
                <w:sz w:val="18"/>
                <w:szCs w:val="18"/>
                <w:vertAlign w:val="baseline"/>
              </w:rPr>
            </w:pPr>
            <w:r>
              <w:rPr>
                <w:rFonts w:hint="eastAsia"/>
                <w:sz w:val="18"/>
                <w:szCs w:val="18"/>
                <w:vertAlign w:val="baseline"/>
              </w:rPr>
              <w:t>篮球架设有篮架升降系统、走轮伸缩机构。篮球架采用电动液压机构，由液压控制篮球架立臂升降、走轮伸缩。电动液压篮球架升降，走轮伸缩油路中均有液压自锁油路，使篮架在任何位置都可以停住，在篮架降下油路中设单向节流阀，调节单向节流的大小，可以调节篮架降下的速度。</w:t>
            </w:r>
          </w:p>
          <w:p w14:paraId="6F6F4C56">
            <w:pPr>
              <w:rPr>
                <w:rFonts w:hint="eastAsia"/>
                <w:sz w:val="18"/>
                <w:szCs w:val="18"/>
                <w:vertAlign w:val="baseline"/>
              </w:rPr>
            </w:pPr>
            <w:r>
              <w:rPr>
                <w:rFonts w:hint="eastAsia"/>
                <w:sz w:val="18"/>
                <w:szCs w:val="18"/>
                <w:vertAlign w:val="baseline"/>
              </w:rPr>
              <w:t>4、篮板</w:t>
            </w:r>
          </w:p>
          <w:p w14:paraId="09E091AB">
            <w:pPr>
              <w:rPr>
                <w:rFonts w:hint="eastAsia"/>
                <w:sz w:val="18"/>
                <w:szCs w:val="18"/>
                <w:vertAlign w:val="baseline"/>
              </w:rPr>
            </w:pPr>
            <w:r>
              <w:rPr>
                <w:rFonts w:hint="eastAsia"/>
                <w:sz w:val="18"/>
                <w:szCs w:val="18"/>
                <w:vertAlign w:val="baseline"/>
              </w:rPr>
              <w:t>篮板配用国际通用的高强度安全玻璃篮板（12mm厚），规格：1800×1050（mm）。</w:t>
            </w:r>
          </w:p>
          <w:p w14:paraId="5E5DC1AD">
            <w:pPr>
              <w:rPr>
                <w:rFonts w:hint="eastAsia"/>
                <w:sz w:val="18"/>
                <w:szCs w:val="18"/>
                <w:vertAlign w:val="baseline"/>
              </w:rPr>
            </w:pPr>
            <w:r>
              <w:rPr>
                <w:rFonts w:hint="eastAsia"/>
                <w:sz w:val="18"/>
                <w:szCs w:val="18"/>
                <w:vertAlign w:val="baseline"/>
              </w:rPr>
              <w:t>5、篮圈</w:t>
            </w:r>
          </w:p>
          <w:p w14:paraId="5E1D8A59">
            <w:pPr>
              <w:rPr>
                <w:rFonts w:hint="eastAsia"/>
                <w:sz w:val="18"/>
                <w:szCs w:val="18"/>
                <w:vertAlign w:val="baseline"/>
              </w:rPr>
            </w:pPr>
            <w:r>
              <w:rPr>
                <w:rFonts w:hint="eastAsia"/>
                <w:sz w:val="18"/>
                <w:szCs w:val="18"/>
                <w:vertAlign w:val="baseline"/>
              </w:rPr>
              <w:t>篮圈采用20mm直径的圆条钢，表面橙色，抗弯性能≤5mm，下沿有12个均匀分布的挂钩，能有效解决投篮时篮圈的稳定性和运动员扣篮时的安全性问题。</w:t>
            </w:r>
          </w:p>
          <w:p w14:paraId="34579954">
            <w:pPr>
              <w:rPr>
                <w:rFonts w:hint="eastAsia"/>
                <w:sz w:val="18"/>
                <w:szCs w:val="18"/>
                <w:vertAlign w:val="baseline"/>
              </w:rPr>
            </w:pPr>
            <w:r>
              <w:rPr>
                <w:rFonts w:hint="eastAsia"/>
                <w:sz w:val="18"/>
                <w:szCs w:val="18"/>
                <w:vertAlign w:val="baseline"/>
              </w:rPr>
              <w:t>6、防护措施</w:t>
            </w:r>
          </w:p>
          <w:p w14:paraId="230C4EBE">
            <w:pPr>
              <w:rPr>
                <w:rFonts w:hint="eastAsia"/>
                <w:sz w:val="18"/>
                <w:szCs w:val="18"/>
                <w:vertAlign w:val="baseline"/>
              </w:rPr>
            </w:pPr>
            <w:r>
              <w:rPr>
                <w:rFonts w:hint="eastAsia"/>
                <w:sz w:val="18"/>
                <w:szCs w:val="18"/>
                <w:vertAlign w:val="baseline"/>
              </w:rPr>
              <w:t>篮架前立柱、底座、伸臂配备有专用护套，能有效保护运动员免受撞击，篮架底座下部设有防震垫，后部装有特制专用配重，单只配重500kg。</w:t>
            </w:r>
          </w:p>
          <w:p w14:paraId="4774ADCD">
            <w:pPr>
              <w:rPr>
                <w:rFonts w:hint="eastAsia"/>
                <w:sz w:val="18"/>
                <w:szCs w:val="18"/>
                <w:vertAlign w:val="baseline"/>
              </w:rPr>
            </w:pPr>
            <w:r>
              <w:rPr>
                <w:rFonts w:hint="eastAsia"/>
                <w:sz w:val="18"/>
                <w:szCs w:val="18"/>
                <w:vertAlign w:val="baseline"/>
              </w:rPr>
              <w:t>7、表面处理</w:t>
            </w:r>
          </w:p>
          <w:p w14:paraId="271C3550">
            <w:pPr>
              <w:rPr>
                <w:rFonts w:hint="eastAsia"/>
                <w:sz w:val="18"/>
                <w:szCs w:val="18"/>
                <w:vertAlign w:val="baseline"/>
              </w:rPr>
            </w:pPr>
            <w:r>
              <w:rPr>
                <w:rFonts w:hint="eastAsia"/>
                <w:sz w:val="18"/>
                <w:szCs w:val="18"/>
                <w:vertAlign w:val="baseline"/>
              </w:rPr>
              <w:t>所有钢制件表面均经酸洗、磷化等初级处理后在自动喷涂线上采用静电环氧基粉末喷涂完成最后表面处理。需提供CMA、CNAS认可的国家级环保产品检验机构关于“金属件喷塑（漆）涂层”的检测报告，报告需符合GB/T19851.1-2022标准限量要求，检验项目需包含：“铅含量≤5mg/kg;镉含量≤2mg/kg;可溶性铅含量≤5mg/kg;邻苯二甲酸二异辛酯（DEHP)≤0.002%、邻苯二甲酸二丁酯（DBP）≤0.002%和邻苯二甲酸丁苄酯（BBP) ≤0.002%，总和≤0.006%；邻苯二甲酸二异壬酯（DINP) ≤0.01%、邻苯二甲酸二异癸酯（DIDP) ≤0.01%和邻苯二甲酸二辛酯（DNOP) ≤0.002%总和≤0.0</w:t>
            </w:r>
            <w:bookmarkStart w:id="0" w:name="_GoBack"/>
            <w:bookmarkEnd w:id="0"/>
            <w:r>
              <w:rPr>
                <w:rFonts w:hint="eastAsia"/>
                <w:sz w:val="18"/>
                <w:szCs w:val="18"/>
                <w:vertAlign w:val="baseline"/>
              </w:rPr>
              <w:t>22%”。</w:t>
            </w:r>
          </w:p>
          <w:p w14:paraId="6424F4DD">
            <w:pPr>
              <w:rPr>
                <w:sz w:val="18"/>
                <w:szCs w:val="18"/>
                <w:vertAlign w:val="baseline"/>
              </w:rPr>
            </w:pPr>
          </w:p>
        </w:tc>
        <w:tc>
          <w:tcPr>
            <w:tcW w:w="660" w:type="dxa"/>
          </w:tcPr>
          <w:p w14:paraId="7984BA7C">
            <w:pPr>
              <w:ind w:firstLine="180" w:firstLineChars="100"/>
              <w:rPr>
                <w:rFonts w:hint="eastAsia"/>
                <w:sz w:val="18"/>
                <w:szCs w:val="18"/>
                <w:vertAlign w:val="baseline"/>
                <w:lang w:val="en-US" w:eastAsia="zh-CN"/>
              </w:rPr>
            </w:pPr>
            <w:r>
              <w:rPr>
                <w:rFonts w:hint="eastAsia"/>
                <w:sz w:val="18"/>
                <w:szCs w:val="18"/>
                <w:vertAlign w:val="baseline"/>
                <w:lang w:val="en-US" w:eastAsia="zh-CN"/>
              </w:rPr>
              <w:t>副</w:t>
            </w:r>
          </w:p>
          <w:p w14:paraId="094E5E20">
            <w:pPr>
              <w:rPr>
                <w:rFonts w:hint="eastAsia" w:eastAsiaTheme="minorEastAsia"/>
                <w:sz w:val="18"/>
                <w:szCs w:val="18"/>
                <w:vertAlign w:val="baseline"/>
                <w:lang w:val="en-US" w:eastAsia="zh-CN"/>
              </w:rPr>
            </w:pPr>
            <w:r>
              <w:rPr>
                <w:rFonts w:hint="eastAsia"/>
                <w:sz w:val="18"/>
                <w:szCs w:val="18"/>
                <w:vertAlign w:val="baseline"/>
                <w:lang w:val="en-US" w:eastAsia="zh-CN"/>
              </w:rPr>
              <w:t>（2个）</w:t>
            </w:r>
          </w:p>
        </w:tc>
        <w:tc>
          <w:tcPr>
            <w:tcW w:w="817" w:type="dxa"/>
          </w:tcPr>
          <w:p w14:paraId="5039E4BD">
            <w:pPr>
              <w:rPr>
                <w:rFonts w:hint="default" w:eastAsiaTheme="minorEastAsia"/>
                <w:sz w:val="18"/>
                <w:szCs w:val="18"/>
                <w:vertAlign w:val="baseline"/>
                <w:lang w:val="en-US" w:eastAsia="zh-CN"/>
              </w:rPr>
            </w:pPr>
            <w:r>
              <w:rPr>
                <w:rFonts w:hint="eastAsia"/>
                <w:sz w:val="18"/>
                <w:szCs w:val="18"/>
                <w:vertAlign w:val="baseline"/>
                <w:lang w:val="en-US" w:eastAsia="zh-CN"/>
              </w:rPr>
              <w:t>98500元</w:t>
            </w:r>
          </w:p>
        </w:tc>
      </w:tr>
    </w:tbl>
    <w:p w14:paraId="73BE8F9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44D5E"/>
    <w:rsid w:val="243476D0"/>
    <w:rsid w:val="3FD637EC"/>
    <w:rsid w:val="5E2860C8"/>
    <w:rsid w:val="7987081E"/>
    <w:rsid w:val="79EF6D37"/>
    <w:rsid w:val="7E5A0955"/>
    <w:rsid w:val="7F42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803</Characters>
  <Lines>0</Lines>
  <Paragraphs>0</Paragraphs>
  <TotalTime>37</TotalTime>
  <ScaleCrop>false</ScaleCrop>
  <LinksUpToDate>false</LinksUpToDate>
  <CharactersWithSpaces>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2025-08-27T01:06:00Z</dcterms:created>
  <dc:creator>linbaizhe</dc:creator>
  <cp:lastModifiedBy>长相思</cp:lastModifiedBy>
  <dcterms:modified xsi:type="dcterms:W3CDTF">2025-09-15T00:46:31Z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eyJoZGlkIjoiNmYzMTY4ZDdhNTZmNWEzODUyNjZkODZhNDg3NmZjMzIiLCJ1c2VySWQiOiI0NDI5OTkxOTgifQ==</vt:lpwstr>
  </property>
  <property fmtid="{D5CDD505-2E9C-101B-9397-08002B2CF9AE}" pid="4" name="ICV">
    <vt:lpwstr>3CC3D05225D1412896EBB18FD9A0C8CB_13</vt:lpwstr>
  </property>
</Properties>
</file>